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016/2019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09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JANEIRO </w:t>
      </w:r>
      <w:r>
        <w:rPr>
          <w:rFonts w:ascii="Verdana" w:hAnsi="Verdana" w:cs="Arial"/>
          <w:b/>
          <w:color w:val="FF0000"/>
          <w:sz w:val="21"/>
          <w:szCs w:val="21"/>
        </w:rPr>
        <w:t>DE 201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9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4812712-4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AGMAR BITTENCOURT ZWARG PUZZUOLI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02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4678802-6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CLECIO DA MACENO CANTOR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4724474-7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JAIRO FELIPE AMANCIO DA SILVA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e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en-US" w:eastAsia="pt-BR"/>
              </w:rPr>
              <w:t>SUPERVISOR DE ENSINO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a</w:t>
            </w:r>
            <w:r>
              <w:rPr>
                <w:rFonts w:hint="default" w:ascii="Verdana" w:hAnsi="Verdana" w:eastAsia="SimSun" w:cs="Verdana"/>
                <w:sz w:val="16"/>
                <w:szCs w:val="16"/>
              </w:rPr>
              <w:t>) Licenciatura Plena em Pedagogia ou Licenciatura de graduação plena com complementação pedagógica ou pós-graduação “Stricto Sensu” na área de Educação, e b) Ter no mínimo 8 (oito) anos de efetivo exercício de magistério, dos quais 2 (dois) anos no exercício de cargo ou de função de suporte pedagógico ou de direção de órgãos técnicos ou ter no mínimo 10 (dez) anos de magistério em escola devidamente autorizada e reconhecida por órgãos oficiais</w:t>
            </w:r>
            <w:r>
              <w:rPr>
                <w:rFonts w:ascii="SimSun" w:hAnsi="SimSun" w:eastAsia="SimSun" w:cs="SimSu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5.453,82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30 DE DEZEMBRO DE 2019.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7E78"/>
    <w:rsid w:val="58A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2019-12-27T13:55:00Z</dcterms:created>
  <dc:creator>sme.adm13</dc:creator>
  <cp:lastModifiedBy>sme.adm13</cp:lastModifiedBy>
  <cp:lastPrinted>2019-12-27T14:15:45Z</cp:lastPrinted>
  <dcterms:modified xsi:type="dcterms:W3CDTF">2019-12-27T14:16:37Z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